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388"/>
        <w:gridCol w:w="2910"/>
        <w:gridCol w:w="1665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</w:trPr>
        <w:tc>
          <w:tcPr>
            <w:tcW w:w="852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0"/>
                <w:sz w:val="32"/>
                <w:szCs w:val="32"/>
                <w:lang w:val="en-US" w:eastAsia="zh-CN"/>
              </w:rPr>
              <w:t>佳县2020年部分人大建议、政协提案承办单位调整表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4"/>
                <w:szCs w:val="24"/>
                <w:vertAlign w:val="baseline"/>
                <w:lang w:val="en-US" w:eastAsia="zh-CN"/>
              </w:rPr>
              <w:t>案由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4"/>
                <w:szCs w:val="24"/>
                <w:vertAlign w:val="baseline"/>
                <w:lang w:val="en-US" w:eastAsia="zh-CN"/>
              </w:rPr>
              <w:t>原拟交办责任分工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sz w:val="24"/>
                <w:szCs w:val="24"/>
                <w:vertAlign w:val="baseline"/>
                <w:lang w:val="en-US" w:eastAsia="zh-CN"/>
              </w:rPr>
              <w:t>调整后责任分工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  <w:t>县人大建议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  <w:t>文化旅游类3号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关于加强家风馆宣传教化的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建议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  <w:t>宣传部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  <w:t>宣传部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  <w:t>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  <w:t>县政协提案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  <w:t>第21号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关于整治城区乱摆摊设点、占道经营的建议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  <w:t>县城市综合执法局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vertAlign w:val="baseline"/>
                <w:lang w:val="en-US" w:eastAsia="zh-CN"/>
              </w:rPr>
              <w:t>县住建局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demon</cp:lastModifiedBy>
  <dcterms:modified xsi:type="dcterms:W3CDTF">2020-07-21T07:37:58Z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